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КГД-20-3-13/21598-ВН от 19.12.2025</w:t>
      </w:r>
    </w:p>
    <w:p w14:paraId="0A228370" w14:textId="1B4D9749" w:rsidR="00225AE3" w:rsidRDefault="00225AE3" w:rsidP="00D3672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Сравнительная таблица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br/>
        <w:t>к приказ</w:t>
      </w:r>
      <w:r w:rsidR="0021341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у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Министра финансов Республики Казахстан 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br/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____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________ </w:t>
      </w:r>
      <w:r w:rsidRPr="00D045B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202</w:t>
      </w:r>
      <w:r w:rsidR="00D045BC" w:rsidRPr="00D045B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года № ____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«О внесении </w:t>
      </w:r>
      <w:r w:rsidR="00954357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изменения и </w:t>
      </w:r>
      <w:r w:rsidR="00A40CA8">
        <w:rPr>
          <w:rFonts w:ascii="Times New Roman" w:eastAsia="Times New Roman" w:hAnsi="Times New Roman" w:cs="Times New Roman"/>
          <w:b/>
          <w:bCs/>
          <w:sz w:val="28"/>
          <w:szCs w:val="27"/>
          <w:lang w:val="kk-KZ" w:eastAsia="ru-RU"/>
        </w:rPr>
        <w:t>дополнений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в приказ 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Министра финансов Республики Казахстан от </w:t>
      </w:r>
      <w:r w:rsidR="00D045B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24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</w:t>
      </w:r>
      <w:r w:rsidR="00B5237D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февраля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20</w:t>
      </w:r>
      <w:r w:rsidR="00B5237D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15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года № </w:t>
      </w:r>
      <w:r w:rsidR="00D045B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119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«</w:t>
      </w:r>
      <w:r w:rsidR="00D045BC" w:rsidRPr="00D045B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Об утверждении форм, Правил представления и составления деклараций по обороту нефтепродуктов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»</w:t>
      </w:r>
    </w:p>
    <w:p w14:paraId="6919041A" w14:textId="77777777" w:rsidR="00225AE3" w:rsidRDefault="00225AE3" w:rsidP="00D3672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tbl>
      <w:tblPr>
        <w:tblStyle w:val="a3"/>
        <w:tblW w:w="13887" w:type="dxa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3402"/>
        <w:gridCol w:w="4961"/>
        <w:gridCol w:w="3544"/>
      </w:tblGrid>
      <w:tr w:rsidR="005F03C4" w:rsidRPr="009947D3" w14:paraId="185F284E" w14:textId="77777777" w:rsidTr="0070391A">
        <w:tc>
          <w:tcPr>
            <w:tcW w:w="704" w:type="dxa"/>
          </w:tcPr>
          <w:p w14:paraId="7FBF3DEC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№ п/п</w:t>
            </w:r>
          </w:p>
        </w:tc>
        <w:tc>
          <w:tcPr>
            <w:tcW w:w="1276" w:type="dxa"/>
            <w:vAlign w:val="center"/>
          </w:tcPr>
          <w:p w14:paraId="66B776D3" w14:textId="77777777" w:rsidR="00225AE3" w:rsidRPr="009947D3" w:rsidRDefault="00225AE3" w:rsidP="00D36724">
            <w:pPr>
              <w:pStyle w:val="a4"/>
              <w:jc w:val="center"/>
              <w:rPr>
                <w:b/>
                <w:sz w:val="28"/>
              </w:rPr>
            </w:pPr>
            <w:r w:rsidRPr="009947D3">
              <w:rPr>
                <w:b/>
                <w:sz w:val="28"/>
              </w:rPr>
              <w:t>Структурный элемент правового акта</w:t>
            </w:r>
          </w:p>
        </w:tc>
        <w:tc>
          <w:tcPr>
            <w:tcW w:w="3402" w:type="dxa"/>
            <w:vAlign w:val="center"/>
          </w:tcPr>
          <w:p w14:paraId="275672AB" w14:textId="77777777" w:rsidR="00225AE3" w:rsidRPr="009947D3" w:rsidRDefault="00225AE3" w:rsidP="00D36724">
            <w:pPr>
              <w:pStyle w:val="a4"/>
              <w:jc w:val="center"/>
              <w:rPr>
                <w:b/>
                <w:sz w:val="28"/>
              </w:rPr>
            </w:pPr>
            <w:r w:rsidRPr="009947D3">
              <w:rPr>
                <w:b/>
                <w:sz w:val="28"/>
              </w:rPr>
              <w:t>Действующая редакция</w:t>
            </w:r>
          </w:p>
        </w:tc>
        <w:tc>
          <w:tcPr>
            <w:tcW w:w="4961" w:type="dxa"/>
            <w:vAlign w:val="center"/>
          </w:tcPr>
          <w:p w14:paraId="3A79C0D2" w14:textId="77777777" w:rsidR="00225AE3" w:rsidRPr="009947D3" w:rsidRDefault="00225AE3" w:rsidP="00D36724">
            <w:pPr>
              <w:pStyle w:val="a4"/>
              <w:jc w:val="center"/>
              <w:rPr>
                <w:b/>
                <w:sz w:val="28"/>
              </w:rPr>
            </w:pPr>
            <w:r w:rsidRPr="009947D3">
              <w:rPr>
                <w:b/>
                <w:sz w:val="28"/>
              </w:rPr>
              <w:t>Предлагаемая редакция</w:t>
            </w:r>
          </w:p>
        </w:tc>
        <w:tc>
          <w:tcPr>
            <w:tcW w:w="3544" w:type="dxa"/>
            <w:vAlign w:val="center"/>
          </w:tcPr>
          <w:p w14:paraId="6BE702B1" w14:textId="77777777" w:rsidR="00225AE3" w:rsidRPr="009947D3" w:rsidRDefault="00225AE3" w:rsidP="004A3B55">
            <w:pPr>
              <w:pStyle w:val="a4"/>
              <w:jc w:val="center"/>
              <w:rPr>
                <w:b/>
                <w:sz w:val="28"/>
                <w:lang w:val="en-US"/>
              </w:rPr>
            </w:pPr>
            <w:r w:rsidRPr="009947D3">
              <w:rPr>
                <w:b/>
                <w:sz w:val="28"/>
              </w:rPr>
              <w:t>Обоснование</w:t>
            </w:r>
          </w:p>
        </w:tc>
      </w:tr>
      <w:tr w:rsidR="00F92588" w:rsidRPr="009947D3" w14:paraId="755FB2F3" w14:textId="77777777" w:rsidTr="0070391A">
        <w:tc>
          <w:tcPr>
            <w:tcW w:w="704" w:type="dxa"/>
          </w:tcPr>
          <w:p w14:paraId="1599F04F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1</w:t>
            </w:r>
          </w:p>
        </w:tc>
        <w:tc>
          <w:tcPr>
            <w:tcW w:w="1276" w:type="dxa"/>
          </w:tcPr>
          <w:p w14:paraId="4DA4D479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2</w:t>
            </w:r>
          </w:p>
        </w:tc>
        <w:tc>
          <w:tcPr>
            <w:tcW w:w="3402" w:type="dxa"/>
          </w:tcPr>
          <w:p w14:paraId="477814A0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3</w:t>
            </w:r>
          </w:p>
        </w:tc>
        <w:tc>
          <w:tcPr>
            <w:tcW w:w="4961" w:type="dxa"/>
          </w:tcPr>
          <w:p w14:paraId="64BC22D4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4</w:t>
            </w:r>
          </w:p>
        </w:tc>
        <w:tc>
          <w:tcPr>
            <w:tcW w:w="3544" w:type="dxa"/>
          </w:tcPr>
          <w:p w14:paraId="2090FDA7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5</w:t>
            </w:r>
          </w:p>
        </w:tc>
      </w:tr>
      <w:tr w:rsidR="000F0BD4" w:rsidRPr="009947D3" w14:paraId="6F023CED" w14:textId="77777777" w:rsidTr="004E3E22">
        <w:tc>
          <w:tcPr>
            <w:tcW w:w="13887" w:type="dxa"/>
            <w:gridSpan w:val="5"/>
          </w:tcPr>
          <w:p w14:paraId="736118D3" w14:textId="77777777" w:rsidR="000F0BD4" w:rsidRPr="00794DD4" w:rsidRDefault="000F0BD4" w:rsidP="00516DC7">
            <w:pPr>
              <w:ind w:firstLine="31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1A76B4">
              <w:rPr>
                <w:rFonts w:ascii="Times New Roman" w:eastAsia="Times New Roman" w:hAnsi="Times New Roman" w:cs="Times New Roman"/>
                <w:b/>
                <w:sz w:val="28"/>
                <w:szCs w:val="27"/>
                <w:lang w:eastAsia="ru-RU"/>
              </w:rPr>
              <w:t>Правила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7"/>
                <w:lang w:eastAsia="ru-RU"/>
              </w:rPr>
              <w:t xml:space="preserve"> </w:t>
            </w:r>
            <w:r w:rsidRPr="001A76B4">
              <w:rPr>
                <w:rFonts w:ascii="Times New Roman" w:eastAsia="Times New Roman" w:hAnsi="Times New Roman" w:cs="Times New Roman"/>
                <w:b/>
                <w:sz w:val="28"/>
                <w:szCs w:val="27"/>
                <w:lang w:eastAsia="ru-RU"/>
              </w:rPr>
              <w:t>представления и составления деклараций по обороту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7"/>
                <w:lang w:eastAsia="ru-RU"/>
              </w:rPr>
              <w:t xml:space="preserve"> </w:t>
            </w:r>
            <w:r w:rsidRPr="001A76B4">
              <w:rPr>
                <w:rFonts w:ascii="Times New Roman" w:eastAsia="Times New Roman" w:hAnsi="Times New Roman" w:cs="Times New Roman"/>
                <w:b/>
                <w:sz w:val="28"/>
                <w:szCs w:val="27"/>
                <w:lang w:eastAsia="ru-RU"/>
              </w:rPr>
              <w:t>нефтепродуктов</w:t>
            </w:r>
          </w:p>
        </w:tc>
      </w:tr>
      <w:tr w:rsidR="000077E7" w:rsidRPr="009947D3" w14:paraId="79F7B26F" w14:textId="77777777" w:rsidTr="0070391A">
        <w:tc>
          <w:tcPr>
            <w:tcW w:w="704" w:type="dxa"/>
          </w:tcPr>
          <w:p w14:paraId="60C0B788" w14:textId="3147374A" w:rsidR="000077E7" w:rsidRPr="000077E7" w:rsidRDefault="000077E7" w:rsidP="005F393E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1.</w:t>
            </w:r>
          </w:p>
        </w:tc>
        <w:tc>
          <w:tcPr>
            <w:tcW w:w="1276" w:type="dxa"/>
          </w:tcPr>
          <w:p w14:paraId="5C4DBBCA" w14:textId="43BF151D" w:rsidR="000077E7" w:rsidRDefault="000077E7" w:rsidP="002D4F61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Преамбула </w:t>
            </w:r>
            <w:r w:rsidR="00B754C1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пункт</w:t>
            </w:r>
            <w:r w:rsidR="00B754C1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1</w:t>
            </w:r>
          </w:p>
        </w:tc>
        <w:tc>
          <w:tcPr>
            <w:tcW w:w="3402" w:type="dxa"/>
          </w:tcPr>
          <w:p w14:paraId="2D2A16FD" w14:textId="26604306" w:rsidR="000077E7" w:rsidRPr="000077E7" w:rsidRDefault="000077E7" w:rsidP="000077E7">
            <w:pPr>
              <w:ind w:firstLine="311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0077E7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1. Настоящие Правила представления и составления деклараций по обороту нефтепродуктов (далее – декларации) разработаны в соответствии с подпунктом 9) статьи 8 Закона Республики Казахстан </w:t>
            </w:r>
            <w:r w:rsidRPr="000077E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от 20 июля 2011 года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«</w:t>
            </w:r>
            <w:r w:rsidRPr="000077E7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О государственном регулировании производства и оборота отдельных видов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>нефтепродуктов»</w:t>
            </w:r>
            <w:r w:rsidRPr="000077E7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и определяют порядок представления и составления деклараций по обороту бензина, авиационного и дизельного топлива, мазута (далее – нефтепродукты).</w:t>
            </w:r>
          </w:p>
        </w:tc>
        <w:tc>
          <w:tcPr>
            <w:tcW w:w="4961" w:type="dxa"/>
          </w:tcPr>
          <w:p w14:paraId="24F3CCE9" w14:textId="768629DF" w:rsidR="000077E7" w:rsidRPr="000077E7" w:rsidRDefault="000077E7" w:rsidP="000077E7">
            <w:pPr>
              <w:ind w:firstLine="311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 xml:space="preserve">1. </w:t>
            </w:r>
            <w:r w:rsidRPr="000077E7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Настоящие Правила представления и составления деклараций по обороту нефтепродуктов (далее – декларации) разработаны в соответствии  </w:t>
            </w:r>
          </w:p>
          <w:p w14:paraId="42C0C33F" w14:textId="49C04D3D" w:rsidR="000077E7" w:rsidRPr="00516DC7" w:rsidRDefault="000077E7" w:rsidP="000077E7">
            <w:pPr>
              <w:ind w:firstLine="311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0077E7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с подпунктом 9) статьи 8 Закона Республики Казахстан «О государственном регулировании производства и оборота отдельных видов нефтепродуктов» и определяют порядок представления и составления деклараций по обороту бензина, авиационного и дизельного топлива, </w:t>
            </w:r>
            <w:r w:rsidR="008D363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мазута (далее – нефтепродукты).</w:t>
            </w:r>
            <w:bookmarkStart w:id="0" w:name="_GoBack"/>
            <w:bookmarkEnd w:id="0"/>
          </w:p>
        </w:tc>
        <w:tc>
          <w:tcPr>
            <w:tcW w:w="3544" w:type="dxa"/>
          </w:tcPr>
          <w:p w14:paraId="780F31D5" w14:textId="1DE28A0C" w:rsidR="000077E7" w:rsidRPr="00794DD4" w:rsidRDefault="00B754C1" w:rsidP="00516DC7">
            <w:pPr>
              <w:ind w:firstLine="31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B754C1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Приведение в соответствии с требованиями пункта 5 статьи 25 Закона Республики Казахстан «О правовых актах».</w:t>
            </w:r>
          </w:p>
        </w:tc>
      </w:tr>
      <w:tr w:rsidR="005F393E" w:rsidRPr="009947D3" w14:paraId="4EF231F5" w14:textId="77777777" w:rsidTr="0070391A">
        <w:tc>
          <w:tcPr>
            <w:tcW w:w="704" w:type="dxa"/>
          </w:tcPr>
          <w:p w14:paraId="43E84E0D" w14:textId="6D78DEC9" w:rsidR="005F393E" w:rsidRPr="009947D3" w:rsidRDefault="00B754C1" w:rsidP="005F393E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>2</w:t>
            </w:r>
            <w:r w:rsidR="005F393E" w:rsidRPr="009947D3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.</w:t>
            </w:r>
          </w:p>
        </w:tc>
        <w:tc>
          <w:tcPr>
            <w:tcW w:w="1276" w:type="dxa"/>
          </w:tcPr>
          <w:p w14:paraId="42072F99" w14:textId="77777777" w:rsidR="005F393E" w:rsidRPr="009947D3" w:rsidRDefault="00021772" w:rsidP="002D4F61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</w:t>
            </w:r>
            <w:r w:rsidR="00F36E69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пункт 1</w:t>
            </w:r>
            <w:r w:rsidR="004346FD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4-1</w:t>
            </w:r>
          </w:p>
        </w:tc>
        <w:tc>
          <w:tcPr>
            <w:tcW w:w="3402" w:type="dxa"/>
          </w:tcPr>
          <w:p w14:paraId="28B9E97C" w14:textId="77777777" w:rsidR="005F393E" w:rsidRPr="00516DC7" w:rsidRDefault="00F36E69" w:rsidP="00516DC7">
            <w:pPr>
              <w:ind w:firstLine="311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Отсутствует</w:t>
            </w:r>
          </w:p>
        </w:tc>
        <w:tc>
          <w:tcPr>
            <w:tcW w:w="4961" w:type="dxa"/>
          </w:tcPr>
          <w:p w14:paraId="7F3EF8E8" w14:textId="77777777" w:rsidR="00435943" w:rsidRPr="00516DC7" w:rsidRDefault="00435943" w:rsidP="00516DC7">
            <w:pPr>
              <w:ind w:firstLine="311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14-1. Индивидуальные предприниматели и юридические лица, структурные подразделения юридического лица (филиалы и представительства) в случаях неверного указания кода органа государственных доходов, отчетного периода и (или) ошибочного представления формы </w:t>
            </w:r>
            <w:r w:rsidR="000F0BD4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д</w:t>
            </w:r>
            <w:r w:rsidR="000F0BD4"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екларации </w:t>
            </w: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отзывают </w:t>
            </w:r>
            <w:r w:rsidR="000F0BD4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д</w:t>
            </w:r>
            <w:r w:rsidR="000F0BD4"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екларацию </w:t>
            </w: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путем подачи заявления на отзыв </w:t>
            </w:r>
            <w:r w:rsidR="000F0BD4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д</w:t>
            </w:r>
            <w:r w:rsidR="000F0BD4"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еклараций </w:t>
            </w: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по обороту нефтепродуктов по форме согласно приложению </w:t>
            </w:r>
            <w:r w:rsidR="000F0BD4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4</w:t>
            </w: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 к настоящему приказу (далее – заявление).</w:t>
            </w:r>
          </w:p>
          <w:p w14:paraId="2DDFEBB2" w14:textId="77777777" w:rsidR="00435943" w:rsidRPr="00516DC7" w:rsidRDefault="00435943" w:rsidP="00516DC7">
            <w:pPr>
              <w:ind w:firstLine="311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Заявление представляется на бумажном носителе и (или) в форме электронного документа в орган государственных доходов:</w:t>
            </w:r>
          </w:p>
          <w:p w14:paraId="0261D89F" w14:textId="77777777" w:rsidR="00435943" w:rsidRPr="00516DC7" w:rsidRDefault="00435943" w:rsidP="00516DC7">
            <w:pPr>
              <w:ind w:firstLine="311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lastRenderedPageBreak/>
              <w:t xml:space="preserve">1) по месту своего регистрационного учета – в случаях неверного указания отчетного периода и (или) ошибочного представления формы </w:t>
            </w:r>
            <w:r w:rsidR="000F0BD4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д</w:t>
            </w:r>
            <w:r w:rsidR="000F0BD4"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екларации</w:t>
            </w: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;</w:t>
            </w:r>
          </w:p>
          <w:p w14:paraId="7EBFEDC7" w14:textId="77777777" w:rsidR="00723DCF" w:rsidRPr="00516DC7" w:rsidRDefault="00435943" w:rsidP="00516DC7">
            <w:pPr>
              <w:ind w:firstLine="311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2) по месту представления такой </w:t>
            </w:r>
            <w:r w:rsidR="000F0BD4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д</w:t>
            </w:r>
            <w:r w:rsidR="000F0BD4"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екларации </w:t>
            </w:r>
            <w:r w:rsidRPr="00516DC7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– в случае неверного указания кода органа государственных доходов.</w:t>
            </w:r>
          </w:p>
        </w:tc>
        <w:tc>
          <w:tcPr>
            <w:tcW w:w="3544" w:type="dxa"/>
          </w:tcPr>
          <w:p w14:paraId="2411D6F8" w14:textId="77777777" w:rsidR="00794DD4" w:rsidRPr="00794DD4" w:rsidRDefault="00794DD4" w:rsidP="00516DC7">
            <w:pPr>
              <w:ind w:firstLine="31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794DD4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 xml:space="preserve">Согласно подпункту 9) статьи 8 Закона Республики Казахстан </w:t>
            </w:r>
            <w:r w:rsidR="00A40CA8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br/>
            </w:r>
            <w:r w:rsidRPr="00794DD4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«О государственном регулировании производства и оборота отдельных видов нефтепродуктов» уполномоченный орган в области производства нефтепродуктов разрабатывает и утверждает формы, правила представления и составления деклараций по обороту нефтепродуктов.</w:t>
            </w:r>
          </w:p>
          <w:p w14:paraId="5B70B33F" w14:textId="77777777" w:rsidR="00794DD4" w:rsidRPr="00794DD4" w:rsidRDefault="00794DD4" w:rsidP="00516DC7">
            <w:pPr>
              <w:ind w:firstLine="31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794DD4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Согласно под</w:t>
            </w:r>
            <w:r w:rsidR="00A40CA8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пункту 7) пункта 1 </w:t>
            </w:r>
            <w:r w:rsidR="003922D0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постановления</w:t>
            </w:r>
            <w:r w:rsidRPr="00794DD4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Правительства Республики </w:t>
            </w:r>
            <w:r w:rsidRPr="00794DD4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 xml:space="preserve">Казахстан от 24 апреля 2008 года № 387 «О некоторых вопросах Министерства финансов Республики Казахстан», Министерство финансов является государственным органом Республики Казахстан, осуществляющим руководство в сфере оборота нефтепродуктов и </w:t>
            </w:r>
            <w:proofErr w:type="spellStart"/>
            <w:r w:rsidRPr="00794DD4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биотоплива</w:t>
            </w:r>
            <w:proofErr w:type="spellEnd"/>
            <w:r w:rsidRPr="00794DD4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.</w:t>
            </w:r>
          </w:p>
          <w:p w14:paraId="0D9958D9" w14:textId="4439C540" w:rsidR="005F393E" w:rsidRPr="009947D3" w:rsidRDefault="00794DD4" w:rsidP="0068394B">
            <w:pPr>
              <w:ind w:firstLine="31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794DD4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В рамках поддержки субъектов предпринимательства предлагается представить возможность отзыва ошибочно представленной декларации. Отзыв деклараций обеспечит представление корректных сведений</w:t>
            </w:r>
            <w:r w:rsidR="0068394B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, </w:t>
            </w:r>
            <w:r w:rsidR="0068394B" w:rsidRPr="0068394B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снизить административную нагрузку на добросовестных участников рынка, допустивших технические или арифметические </w:t>
            </w:r>
            <w:r w:rsidR="0068394B" w:rsidRPr="0068394B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>ошибки при заполнении декл</w:t>
            </w:r>
            <w:r w:rsidR="0068394B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араций,</w:t>
            </w:r>
            <w:r w:rsidR="0068394B" w:rsidRPr="0068394B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повысить эффективность государственного контроля и качество администрирования в сфере оборота нефтепродуктов.</w:t>
            </w:r>
          </w:p>
        </w:tc>
      </w:tr>
      <w:tr w:rsidR="00E17221" w:rsidRPr="009947D3" w14:paraId="11621043" w14:textId="77777777" w:rsidTr="0070391A">
        <w:tc>
          <w:tcPr>
            <w:tcW w:w="704" w:type="dxa"/>
          </w:tcPr>
          <w:p w14:paraId="3C735587" w14:textId="00645EE2" w:rsidR="00E17221" w:rsidRDefault="00B754C1" w:rsidP="00E17221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lastRenderedPageBreak/>
              <w:t>3</w:t>
            </w:r>
            <w:r w:rsidR="00E17221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. </w:t>
            </w:r>
          </w:p>
        </w:tc>
        <w:tc>
          <w:tcPr>
            <w:tcW w:w="1276" w:type="dxa"/>
          </w:tcPr>
          <w:p w14:paraId="2FA4E77F" w14:textId="77777777" w:rsidR="00E17221" w:rsidRDefault="002D4F61" w:rsidP="002D4F61">
            <w:pPr>
              <w:jc w:val="both"/>
              <w:outlineLvl w:val="2"/>
              <w:rPr>
                <w:rFonts w:ascii="Times New Roman" w:hAnsi="Times New Roman" w:cs="Times New Roman"/>
                <w:spacing w:val="2"/>
                <w:sz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bdr w:val="none" w:sz="0" w:space="0" w:color="auto" w:frame="1"/>
              </w:rPr>
              <w:t>приложение 4</w:t>
            </w:r>
          </w:p>
        </w:tc>
        <w:tc>
          <w:tcPr>
            <w:tcW w:w="3402" w:type="dxa"/>
          </w:tcPr>
          <w:p w14:paraId="6451C99A" w14:textId="77777777" w:rsidR="00E17221" w:rsidRPr="00516DC7" w:rsidRDefault="00E17221" w:rsidP="00E17221">
            <w:pPr>
              <w:pStyle w:val="pr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8"/>
                <w:szCs w:val="28"/>
                <w:highlight w:val="yellow"/>
              </w:rPr>
            </w:pPr>
            <w:r w:rsidRPr="00516DC7">
              <w:rPr>
                <w:b/>
                <w:bCs/>
                <w:sz w:val="28"/>
                <w:szCs w:val="27"/>
              </w:rPr>
              <w:t>Отсутствует</w:t>
            </w:r>
          </w:p>
        </w:tc>
        <w:tc>
          <w:tcPr>
            <w:tcW w:w="4961" w:type="dxa"/>
          </w:tcPr>
          <w:p w14:paraId="30B00A50" w14:textId="77777777" w:rsidR="00F70D20" w:rsidRPr="00516DC7" w:rsidRDefault="00F70D20" w:rsidP="00516DC7">
            <w:pPr>
              <w:ind w:left="60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Приложение 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4 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</w: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 Правилам представления</w:t>
            </w:r>
          </w:p>
          <w:p w14:paraId="6C887215" w14:textId="77777777" w:rsidR="00F70D20" w:rsidRPr="00516DC7" w:rsidRDefault="00F70D20" w:rsidP="00516DC7">
            <w:pPr>
              <w:pStyle w:val="pr"/>
              <w:shd w:val="clear" w:color="auto" w:fill="FFFFFF"/>
              <w:spacing w:before="0" w:beforeAutospacing="0" w:after="0" w:afterAutospacing="0"/>
              <w:ind w:left="607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516DC7">
              <w:rPr>
                <w:b/>
                <w:color w:val="000000"/>
                <w:sz w:val="28"/>
                <w:szCs w:val="28"/>
              </w:rPr>
              <w:t>деклараций по обороту нефтепродуктов</w:t>
            </w:r>
          </w:p>
          <w:p w14:paraId="498D735C" w14:textId="77777777" w:rsidR="00F70D20" w:rsidRPr="00516DC7" w:rsidRDefault="00F70D20" w:rsidP="00F70D20">
            <w:pPr>
              <w:pStyle w:val="pr"/>
              <w:shd w:val="clear" w:color="auto" w:fill="FFFFFF"/>
              <w:spacing w:before="0" w:beforeAutospacing="0" w:after="0" w:afterAutospacing="0"/>
              <w:ind w:left="2017"/>
              <w:textAlignment w:val="baseline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14:paraId="528F6145" w14:textId="77777777" w:rsidR="002D4F61" w:rsidRDefault="002D4F61" w:rsidP="00F70D20">
            <w:pPr>
              <w:pStyle w:val="pr"/>
              <w:shd w:val="clear" w:color="auto" w:fill="FFFFFF"/>
              <w:spacing w:before="0" w:beforeAutospacing="0" w:after="0" w:afterAutospacing="0"/>
              <w:ind w:left="2017"/>
              <w:textAlignment w:val="baseline"/>
              <w:rPr>
                <w:b/>
                <w:color w:val="000000"/>
                <w:sz w:val="28"/>
                <w:szCs w:val="28"/>
                <w:lang w:val="kk-KZ"/>
              </w:rPr>
            </w:pPr>
          </w:p>
          <w:p w14:paraId="61936D87" w14:textId="77777777" w:rsidR="00726136" w:rsidRDefault="002D4F61" w:rsidP="00516DC7">
            <w:pPr>
              <w:pStyle w:val="pr"/>
              <w:shd w:val="clear" w:color="auto" w:fill="FFFFFF"/>
              <w:spacing w:before="0" w:beforeAutospacing="0" w:after="0" w:afterAutospacing="0"/>
              <w:ind w:left="2017"/>
              <w:jc w:val="right"/>
              <w:textAlignment w:val="baseline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ф</w:t>
            </w:r>
            <w:r w:rsidRPr="00516DC7">
              <w:rPr>
                <w:b/>
                <w:color w:val="000000"/>
                <w:sz w:val="28"/>
                <w:szCs w:val="28"/>
                <w:lang w:val="kk-KZ"/>
              </w:rPr>
              <w:t>орма</w:t>
            </w:r>
          </w:p>
          <w:p w14:paraId="6FDDCF99" w14:textId="77777777" w:rsidR="002D4F61" w:rsidRPr="002D4F61" w:rsidRDefault="002D4F61" w:rsidP="00F70D20">
            <w:pPr>
              <w:pStyle w:val="pr"/>
              <w:shd w:val="clear" w:color="auto" w:fill="FFFFFF"/>
              <w:spacing w:before="0" w:beforeAutospacing="0" w:after="0" w:afterAutospacing="0"/>
              <w:ind w:left="2017"/>
              <w:textAlignment w:val="baseline"/>
              <w:rPr>
                <w:b/>
                <w:sz w:val="28"/>
                <w:szCs w:val="28"/>
                <w:lang w:val="kk-KZ"/>
              </w:rPr>
            </w:pPr>
          </w:p>
          <w:p w14:paraId="2B720E94" w14:textId="77777777" w:rsidR="00AA7B44" w:rsidRPr="002D4F61" w:rsidRDefault="00AA7B44" w:rsidP="00AA7B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D4F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Заявление на отзыв декларации </w:t>
            </w: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 обороту нефтепродуктов</w:t>
            </w:r>
          </w:p>
          <w:p w14:paraId="51A6101E" w14:textId="77777777" w:rsidR="00AA7B44" w:rsidRPr="00516DC7" w:rsidRDefault="00AA7B44" w:rsidP="00AA7B44">
            <w:pPr>
              <w:ind w:left="566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AC52C42" w14:textId="77777777" w:rsidR="00AA7B44" w:rsidRPr="00A40CA8" w:rsidRDefault="00AA7B44" w:rsidP="00AA7B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Наименование налогоплательщика____________________________________</w:t>
            </w:r>
            <w:r w:rsidR="00A40CA8">
              <w:rPr>
                <w:rFonts w:ascii="Times New Roman" w:hAnsi="Times New Roman" w:cs="Times New Roman"/>
                <w:b/>
                <w:color w:val="000000"/>
                <w:sz w:val="28"/>
              </w:rPr>
              <w:t>____________</w:t>
            </w:r>
          </w:p>
          <w:p w14:paraId="293FC641" w14:textId="77777777" w:rsidR="00AA7B44" w:rsidRPr="00516DC7" w:rsidRDefault="00AA7B44" w:rsidP="00AA7B4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EA58335" w14:textId="77777777" w:rsidR="00AA7B44" w:rsidRPr="00516DC7" w:rsidRDefault="00AA7B44" w:rsidP="00AA7B44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Индивидуальный идентификационный номер/Бизнес-идентификационный номер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____________________________</w:t>
            </w:r>
            <w:r w:rsidR="00A40CA8">
              <w:rPr>
                <w:rFonts w:ascii="Times New Roman" w:hAnsi="Times New Roman" w:cs="Times New Roman"/>
                <w:b/>
                <w:color w:val="000000"/>
                <w:sz w:val="28"/>
              </w:rPr>
              <w:t>_____</w:t>
            </w:r>
          </w:p>
          <w:p w14:paraId="7EA748B0" w14:textId="77777777" w:rsidR="000F0BD4" w:rsidRPr="00516DC7" w:rsidRDefault="000F0BD4" w:rsidP="00AA7B4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29C903B" w14:textId="77777777" w:rsidR="00AA7B44" w:rsidRPr="00516DC7" w:rsidRDefault="00AA7B44" w:rsidP="00AA7B44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 xml:space="preserve">Наименование 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декларации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по обороту нефтепроду</w:t>
            </w:r>
            <w:r w:rsidR="000F0BD4" w:rsidRPr="002D4F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ктов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____________________________________________</w:t>
            </w:r>
          </w:p>
          <w:p w14:paraId="7B5610DB" w14:textId="77777777" w:rsidR="00AA7B44" w:rsidRPr="00516DC7" w:rsidRDefault="00AA7B44" w:rsidP="00AA7B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Код 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декларации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по обороту нефтепроду</w:t>
            </w:r>
            <w:r w:rsidR="000F0BD4" w:rsidRPr="002D4F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ктов</w:t>
            </w: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: _____________________</w:t>
            </w:r>
            <w:r w:rsidR="00A40CA8">
              <w:rPr>
                <w:rFonts w:ascii="Times New Roman" w:hAnsi="Times New Roman" w:cs="Times New Roman"/>
                <w:b/>
                <w:color w:val="000000"/>
                <w:sz w:val="28"/>
              </w:rPr>
              <w:t>____________</w:t>
            </w:r>
          </w:p>
          <w:p w14:paraId="2FD19147" w14:textId="77777777" w:rsidR="00EE0C9E" w:rsidRPr="00516DC7" w:rsidRDefault="00AA7B44" w:rsidP="00EE0C9E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Вид 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декларации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по обороту нефтепроду</w:t>
            </w:r>
            <w:r w:rsidR="000F0BD4" w:rsidRPr="002D4F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ктов</w:t>
            </w: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: </w:t>
            </w:r>
            <w:r w:rsidR="000F0BD4"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первоначальная</w:t>
            </w: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, очередная, дополнительная, по уведомлению, ликвидационная (Основная, корректировочная)</w:t>
            </w:r>
            <w:r w:rsidR="00EE0C9E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EE0C9E"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(нужное подчеркнуть)</w:t>
            </w:r>
          </w:p>
          <w:p w14:paraId="15BF240B" w14:textId="77777777" w:rsidR="00AA7B44" w:rsidRPr="00516DC7" w:rsidRDefault="00AA7B44" w:rsidP="00AA7B44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16DC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Представлена в орган государственных доходов _______</w:t>
            </w:r>
          </w:p>
          <w:p w14:paraId="60D665E7" w14:textId="77777777" w:rsidR="00AA7B44" w:rsidRPr="00516DC7" w:rsidRDefault="00AA7B44" w:rsidP="00AA7B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Код органа государственных доходов: ___</w:t>
            </w:r>
            <w:r w:rsidR="00A40CA8">
              <w:rPr>
                <w:rFonts w:ascii="Times New Roman" w:hAnsi="Times New Roman" w:cs="Times New Roman"/>
                <w:b/>
                <w:color w:val="000000"/>
                <w:sz w:val="28"/>
              </w:rPr>
              <w:t>______________________________</w:t>
            </w:r>
          </w:p>
          <w:p w14:paraId="1C1039B1" w14:textId="77777777" w:rsidR="00EE0C9E" w:rsidRPr="00516DC7" w:rsidRDefault="00AA7B44" w:rsidP="00EE0C9E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Отчетный период: месяц, год</w:t>
            </w:r>
            <w:r w:rsidR="00EE0C9E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  <w:r w:rsidR="00EE0C9E"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(нужное подчеркнуть)</w:t>
            </w:r>
          </w:p>
          <w:p w14:paraId="35820EEC" w14:textId="77777777" w:rsidR="00AA7B44" w:rsidRPr="00516DC7" w:rsidRDefault="00AA7B44" w:rsidP="00AA7B4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983427C" w14:textId="77777777" w:rsidR="00AA7B44" w:rsidRPr="00516DC7" w:rsidRDefault="00AA7B44" w:rsidP="00AA7B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DC7">
              <w:rPr>
                <w:rFonts w:ascii="Times New Roman" w:hAnsi="Times New Roman" w:cs="Times New Roman"/>
                <w:b/>
                <w:sz w:val="28"/>
                <w:szCs w:val="28"/>
              </w:rPr>
              <w:t>Входящий номер _____________________</w:t>
            </w:r>
            <w:r w:rsidR="00A40CA8"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  <w:p w14:paraId="1B9A6538" w14:textId="77777777" w:rsidR="00AA7B44" w:rsidRPr="00516DC7" w:rsidRDefault="00AA7B44" w:rsidP="00AA7B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a3"/>
              <w:tblW w:w="4711" w:type="dxa"/>
              <w:tblLayout w:type="fixed"/>
              <w:tblLook w:val="04A0" w:firstRow="1" w:lastRow="0" w:firstColumn="1" w:lastColumn="0" w:noHBand="0" w:noVBand="1"/>
            </w:tblPr>
            <w:tblGrid>
              <w:gridCol w:w="2443"/>
              <w:gridCol w:w="1134"/>
              <w:gridCol w:w="1134"/>
            </w:tblGrid>
            <w:tr w:rsidR="00AA7B44" w:rsidRPr="002D4F61" w14:paraId="5AAE0BF1" w14:textId="77777777" w:rsidTr="00516DC7">
              <w:tc>
                <w:tcPr>
                  <w:tcW w:w="2443" w:type="dxa"/>
                </w:tcPr>
                <w:p w14:paraId="0D29C47A" w14:textId="77777777" w:rsidR="00AA7B44" w:rsidRPr="00516DC7" w:rsidRDefault="00AA7B44" w:rsidP="000F0BD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16DC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Причины подачи </w:t>
                  </w:r>
                  <w:r w:rsidR="000F0BD4" w:rsidRPr="00516DC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заявления</w:t>
                  </w:r>
                </w:p>
              </w:tc>
              <w:tc>
                <w:tcPr>
                  <w:tcW w:w="1134" w:type="dxa"/>
                </w:tcPr>
                <w:p w14:paraId="16633977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16DC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Новое содержание</w:t>
                  </w:r>
                </w:p>
              </w:tc>
              <w:tc>
                <w:tcPr>
                  <w:tcW w:w="1134" w:type="dxa"/>
                </w:tcPr>
                <w:p w14:paraId="77A04618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16DC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Прежнее содержание </w:t>
                  </w:r>
                </w:p>
              </w:tc>
            </w:tr>
            <w:tr w:rsidR="00AA7B44" w:rsidRPr="002D4F61" w14:paraId="6361E77F" w14:textId="77777777" w:rsidTr="00516DC7">
              <w:tc>
                <w:tcPr>
                  <w:tcW w:w="2443" w:type="dxa"/>
                </w:tcPr>
                <w:p w14:paraId="620CF4E4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516DC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Отзыв ошибочно представленной формы</w:t>
                  </w:r>
                </w:p>
              </w:tc>
              <w:tc>
                <w:tcPr>
                  <w:tcW w:w="1134" w:type="dxa"/>
                </w:tcPr>
                <w:p w14:paraId="261BAE97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14:paraId="0F058F94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AA7B44" w:rsidRPr="002D4F61" w14:paraId="3DCFBD26" w14:textId="77777777" w:rsidTr="00516DC7">
              <w:tc>
                <w:tcPr>
                  <w:tcW w:w="2443" w:type="dxa"/>
                </w:tcPr>
                <w:p w14:paraId="3DFADEF5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16DC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Изменение кода органа государственных доходов</w:t>
                  </w:r>
                </w:p>
              </w:tc>
              <w:tc>
                <w:tcPr>
                  <w:tcW w:w="1134" w:type="dxa"/>
                </w:tcPr>
                <w:p w14:paraId="5C484574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14:paraId="5B9D54EC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AA7B44" w:rsidRPr="002D4F61" w14:paraId="3A764176" w14:textId="77777777" w:rsidTr="00516DC7">
              <w:tc>
                <w:tcPr>
                  <w:tcW w:w="2443" w:type="dxa"/>
                </w:tcPr>
                <w:p w14:paraId="6598255B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16DC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Изменение отчетного периода (месяц, год)</w:t>
                  </w:r>
                </w:p>
              </w:tc>
              <w:tc>
                <w:tcPr>
                  <w:tcW w:w="1134" w:type="dxa"/>
                </w:tcPr>
                <w:p w14:paraId="18DE0A00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14:paraId="193251BB" w14:textId="77777777" w:rsidR="00AA7B44" w:rsidRPr="00516DC7" w:rsidRDefault="00AA7B44" w:rsidP="00AA7B44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65BA0D21" w14:textId="77777777" w:rsidR="00AA7B44" w:rsidRPr="00516DC7" w:rsidRDefault="00AA7B44" w:rsidP="00AA7B44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14:paraId="2D968CD9" w14:textId="77777777" w:rsidR="00AA7B44" w:rsidRPr="00516DC7" w:rsidRDefault="00AA7B44" w:rsidP="00AA7B44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Подписано и отправлено получателем </w:t>
            </w:r>
          </w:p>
          <w:p w14:paraId="03A61CDB" w14:textId="77777777" w:rsidR="00AA7B44" w:rsidRPr="00516DC7" w:rsidRDefault="00F66BD8" w:rsidP="00AA7B44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в __:___ часов «__» __________</w:t>
            </w:r>
            <w:r w:rsidR="00AA7B44"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>20__ года</w:t>
            </w:r>
            <w:r w:rsidR="00AA7B44"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br/>
              <w:t xml:space="preserve">Данные </w:t>
            </w:r>
            <w:r w:rsidR="000F0BD4" w:rsidRPr="002D4F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электронной </w:t>
            </w:r>
            <w:r w:rsidR="00A40CA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цифровой подписи</w:t>
            </w:r>
          </w:p>
          <w:p w14:paraId="16AD9DA1" w14:textId="77777777" w:rsidR="00E17221" w:rsidRPr="00516DC7" w:rsidRDefault="00AA7B44" w:rsidP="00516DC7">
            <w:pPr>
              <w:rPr>
                <w:b/>
                <w:sz w:val="20"/>
                <w:szCs w:val="20"/>
                <w:highlight w:val="yellow"/>
              </w:rPr>
            </w:pPr>
            <w:r w:rsidRPr="00516DC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Дата и время </w:t>
            </w:r>
            <w:r w:rsidR="002D4F61" w:rsidRPr="002D4F61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заверения </w:t>
            </w:r>
            <w:r w:rsidR="002D4F61" w:rsidRPr="002D4F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электронной цифровой подписью</w:t>
            </w:r>
            <w:r w:rsidR="002D4F61" w:rsidRPr="002D4F61">
              <w:rPr>
                <w:b/>
                <w:sz w:val="28"/>
                <w:szCs w:val="28"/>
                <w:highlight w:val="yellow"/>
              </w:rPr>
              <w:t xml:space="preserve">     </w:t>
            </w:r>
            <w:r w:rsidR="00E17221" w:rsidRPr="00516DC7">
              <w:rPr>
                <w:b/>
                <w:sz w:val="28"/>
                <w:szCs w:val="28"/>
                <w:highlight w:val="yellow"/>
              </w:rPr>
              <w:t xml:space="preserve">     </w:t>
            </w:r>
          </w:p>
        </w:tc>
        <w:tc>
          <w:tcPr>
            <w:tcW w:w="3544" w:type="dxa"/>
          </w:tcPr>
          <w:p w14:paraId="34846030" w14:textId="77777777" w:rsidR="0019313F" w:rsidRPr="0019313F" w:rsidRDefault="0019313F" w:rsidP="0019313F">
            <w:pPr>
              <w:ind w:firstLine="28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19313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 xml:space="preserve">Согласно подпункту 9) статьи 8 Закона Республики Казахстан </w:t>
            </w:r>
          </w:p>
          <w:p w14:paraId="556AF252" w14:textId="77777777" w:rsidR="0019313F" w:rsidRPr="0019313F" w:rsidRDefault="0019313F" w:rsidP="0019313F">
            <w:pPr>
              <w:ind w:firstLine="28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19313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«О государственном регулировании производства и оборота отдельных видов нефтепродуктов» уполномоченный орган в области производства нефтепродуктов разрабатывает и утверждает формы, правила представления и составления деклараций по обороту нефтепродуктов.</w:t>
            </w:r>
          </w:p>
          <w:p w14:paraId="7A9AC45E" w14:textId="77777777" w:rsidR="0019313F" w:rsidRDefault="0019313F" w:rsidP="0019313F">
            <w:pPr>
              <w:ind w:firstLine="28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19313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Согласно подпункту 7) пункта 1 постановления Правительства Республики Казахстан от 24 апреля 2008 года № 387 «О некоторых </w:t>
            </w:r>
            <w:r w:rsidRPr="0019313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 xml:space="preserve">вопросах Министерства финансов Республики Казахстан», Министерство финансов является государственным органом Республики Казахстан, осуществляющим руководство в сфере оборота нефтепродуктов и </w:t>
            </w:r>
            <w:proofErr w:type="spellStart"/>
            <w:r w:rsidRPr="0019313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биотоплива</w:t>
            </w:r>
            <w:proofErr w:type="spellEnd"/>
            <w:r w:rsidRPr="0019313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.</w:t>
            </w:r>
          </w:p>
          <w:p w14:paraId="1D84F970" w14:textId="32184772" w:rsidR="00E17221" w:rsidRPr="00804BD9" w:rsidRDefault="00C65850" w:rsidP="004032DA">
            <w:pPr>
              <w:ind w:firstLine="286"/>
              <w:jc w:val="both"/>
              <w:rPr>
                <w:rFonts w:ascii="Times New Roman" w:hAnsi="Times New Roman" w:cs="Times New Roman"/>
                <w:spacing w:val="2"/>
                <w:sz w:val="28"/>
                <w:bdr w:val="none" w:sz="0" w:space="0" w:color="auto" w:frame="1"/>
                <w:lang w:val="kk-KZ"/>
              </w:rPr>
            </w:pPr>
            <w:r w:rsidRPr="0057593E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В рамках поддержки 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убъектов предпринимательства </w:t>
            </w:r>
            <w:r w:rsidRPr="0057593E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предлагается представить возможность отзыва ошибочно представленной декларации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. Отзыв деклараций обеспечит представление корректных сведений</w:t>
            </w:r>
            <w:r w:rsidR="004032D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, </w:t>
            </w:r>
            <w:r w:rsidR="004032DA" w:rsidRPr="004032D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снизить административную нагрузку на добросовестных участников рынка, допустивших технические или арифметические ошибки при заполнении деклараций, повысить </w:t>
            </w:r>
            <w:r w:rsidR="004032DA" w:rsidRPr="004032D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>эффективность государственного контроля и качество администрирования в сфере оборота нефтепродуктов.</w:t>
            </w:r>
          </w:p>
        </w:tc>
      </w:tr>
    </w:tbl>
    <w:p w14:paraId="7A169442" w14:textId="77777777" w:rsidR="0008319D" w:rsidRPr="00225AE3" w:rsidRDefault="0008319D" w:rsidP="004006F4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sectPr w:rsidR="0008319D" w:rsidRPr="00225AE3" w:rsidSect="00954357">
      <w:headerReference w:type="default" r:id="rId7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C4CAB2" w16cex:dateUtc="2025-12-17T10:23:00Z"/>
  <w16cex:commentExtensible w16cex:durableId="0ABEEBD7" w16cex:dateUtc="2025-12-17T10:23:00Z"/>
  <w16cex:commentExtensible w16cex:durableId="0D2CF1EB" w16cex:dateUtc="2025-12-17T09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D37D888" w16cid:durableId="19C4CAB2"/>
  <w16cid:commentId w16cid:paraId="596E6434" w16cid:durableId="0ABEEBD7"/>
  <w16cid:commentId w16cid:paraId="731F1B3B" w16cid:durableId="0D2CF1E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FCBE8" w14:textId="77777777" w:rsidR="007320A7" w:rsidRDefault="007320A7" w:rsidP="004509A0">
      <w:pPr>
        <w:spacing w:after="0" w:line="240" w:lineRule="auto"/>
      </w:pPr>
      <w:r>
        <w:separator/>
      </w:r>
    </w:p>
  </w:endnote>
  <w:endnote w:type="continuationSeparator" w:id="0">
    <w:p w14:paraId="023D90DD" w14:textId="77777777" w:rsidR="007320A7" w:rsidRDefault="007320A7" w:rsidP="004509A0">
      <w:pPr>
        <w:spacing w:after="0" w:line="240" w:lineRule="auto"/>
      </w:pPr>
      <w:r>
        <w:continuationSeparator/>
      </w:r>
    </w:p>
  </w:endnote>
  <w:endnote w:type="continuationNotice" w:id="1">
    <w:p w14:paraId="6CD44F03" w14:textId="77777777" w:rsidR="007320A7" w:rsidRDefault="007320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7843B" w14:textId="77777777" w:rsidR="007320A7" w:rsidRDefault="007320A7" w:rsidP="004509A0">
      <w:pPr>
        <w:spacing w:after="0" w:line="240" w:lineRule="auto"/>
      </w:pPr>
      <w:r>
        <w:separator/>
      </w:r>
    </w:p>
  </w:footnote>
  <w:footnote w:type="continuationSeparator" w:id="0">
    <w:p w14:paraId="74952568" w14:textId="77777777" w:rsidR="007320A7" w:rsidRDefault="007320A7" w:rsidP="004509A0">
      <w:pPr>
        <w:spacing w:after="0" w:line="240" w:lineRule="auto"/>
      </w:pPr>
      <w:r>
        <w:continuationSeparator/>
      </w:r>
    </w:p>
  </w:footnote>
  <w:footnote w:type="continuationNotice" w:id="1">
    <w:p w14:paraId="70188628" w14:textId="77777777" w:rsidR="007320A7" w:rsidRDefault="007320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6529"/>
      <w:docPartObj>
        <w:docPartGallery w:val="Page Numbers (Top of Page)"/>
        <w:docPartUnique/>
      </w:docPartObj>
    </w:sdtPr>
    <w:sdtEndPr/>
    <w:sdtContent>
      <w:p w14:paraId="5989CFF7" w14:textId="262EAF40" w:rsidR="00954357" w:rsidRDefault="0095435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63F">
          <w:rPr>
            <w:noProof/>
          </w:rPr>
          <w:t>6</w:t>
        </w:r>
        <w:r>
          <w:fldChar w:fldCharType="end"/>
        </w:r>
      </w:p>
    </w:sdtContent>
  </w:sdt>
  <w:p w14:paraId="54A18DDD" w14:textId="77777777" w:rsidR="00923134" w:rsidRDefault="00923134"/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C4167"/>
    <w:multiLevelType w:val="hybridMultilevel"/>
    <w:tmpl w:val="372C1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F7C1D"/>
    <w:multiLevelType w:val="hybridMultilevel"/>
    <w:tmpl w:val="615EE7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536F9"/>
    <w:multiLevelType w:val="hybridMultilevel"/>
    <w:tmpl w:val="5C42A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CE2"/>
    <w:rsid w:val="00002429"/>
    <w:rsid w:val="0000539E"/>
    <w:rsid w:val="000077E7"/>
    <w:rsid w:val="0001388C"/>
    <w:rsid w:val="00020209"/>
    <w:rsid w:val="00020594"/>
    <w:rsid w:val="00020C6E"/>
    <w:rsid w:val="00021772"/>
    <w:rsid w:val="000316B8"/>
    <w:rsid w:val="00037D1A"/>
    <w:rsid w:val="00044494"/>
    <w:rsid w:val="00047C45"/>
    <w:rsid w:val="000512B8"/>
    <w:rsid w:val="00055CCF"/>
    <w:rsid w:val="0007031A"/>
    <w:rsid w:val="00070940"/>
    <w:rsid w:val="00072174"/>
    <w:rsid w:val="00074CE0"/>
    <w:rsid w:val="000821B3"/>
    <w:rsid w:val="00082AB6"/>
    <w:rsid w:val="0008319D"/>
    <w:rsid w:val="0009370C"/>
    <w:rsid w:val="000A15D4"/>
    <w:rsid w:val="000A56CE"/>
    <w:rsid w:val="000A586F"/>
    <w:rsid w:val="000C4AD0"/>
    <w:rsid w:val="000D106F"/>
    <w:rsid w:val="000D47DA"/>
    <w:rsid w:val="000E0EE8"/>
    <w:rsid w:val="000E5D88"/>
    <w:rsid w:val="000E6490"/>
    <w:rsid w:val="000F0BD4"/>
    <w:rsid w:val="000F1706"/>
    <w:rsid w:val="000F2033"/>
    <w:rsid w:val="0010523C"/>
    <w:rsid w:val="00105794"/>
    <w:rsid w:val="00112977"/>
    <w:rsid w:val="001160E9"/>
    <w:rsid w:val="00116CC7"/>
    <w:rsid w:val="00120F79"/>
    <w:rsid w:val="00127BDD"/>
    <w:rsid w:val="00133AC1"/>
    <w:rsid w:val="00134297"/>
    <w:rsid w:val="00142A3B"/>
    <w:rsid w:val="00146190"/>
    <w:rsid w:val="001741A7"/>
    <w:rsid w:val="001759A2"/>
    <w:rsid w:val="00186E44"/>
    <w:rsid w:val="0019313F"/>
    <w:rsid w:val="001A5083"/>
    <w:rsid w:val="001A6DDE"/>
    <w:rsid w:val="001A76B4"/>
    <w:rsid w:val="001C014E"/>
    <w:rsid w:val="001C04D1"/>
    <w:rsid w:val="001C3526"/>
    <w:rsid w:val="001D02AF"/>
    <w:rsid w:val="001D4FC9"/>
    <w:rsid w:val="001E07DC"/>
    <w:rsid w:val="001E5593"/>
    <w:rsid w:val="002029F0"/>
    <w:rsid w:val="00204E5B"/>
    <w:rsid w:val="00212360"/>
    <w:rsid w:val="0021341C"/>
    <w:rsid w:val="00216779"/>
    <w:rsid w:val="00225038"/>
    <w:rsid w:val="00225AE3"/>
    <w:rsid w:val="002300A0"/>
    <w:rsid w:val="002361F9"/>
    <w:rsid w:val="0023795E"/>
    <w:rsid w:val="00240D10"/>
    <w:rsid w:val="0026756C"/>
    <w:rsid w:val="0027609B"/>
    <w:rsid w:val="00287823"/>
    <w:rsid w:val="00290525"/>
    <w:rsid w:val="00296FD7"/>
    <w:rsid w:val="002B583E"/>
    <w:rsid w:val="002B7CE2"/>
    <w:rsid w:val="002C5C68"/>
    <w:rsid w:val="002D2C12"/>
    <w:rsid w:val="002D4F61"/>
    <w:rsid w:val="002D7F60"/>
    <w:rsid w:val="00301441"/>
    <w:rsid w:val="00302833"/>
    <w:rsid w:val="00307592"/>
    <w:rsid w:val="00310574"/>
    <w:rsid w:val="003126B3"/>
    <w:rsid w:val="003233D2"/>
    <w:rsid w:val="0033055F"/>
    <w:rsid w:val="00334969"/>
    <w:rsid w:val="003511E6"/>
    <w:rsid w:val="00354287"/>
    <w:rsid w:val="0035578B"/>
    <w:rsid w:val="003633D9"/>
    <w:rsid w:val="003800C1"/>
    <w:rsid w:val="003823A9"/>
    <w:rsid w:val="003922D0"/>
    <w:rsid w:val="00393E9D"/>
    <w:rsid w:val="003952A3"/>
    <w:rsid w:val="00397900"/>
    <w:rsid w:val="003A2401"/>
    <w:rsid w:val="003A2DAB"/>
    <w:rsid w:val="003A4AE3"/>
    <w:rsid w:val="003B4726"/>
    <w:rsid w:val="003C32BC"/>
    <w:rsid w:val="003C3583"/>
    <w:rsid w:val="003D02FA"/>
    <w:rsid w:val="003D3A3F"/>
    <w:rsid w:val="003D431F"/>
    <w:rsid w:val="004006F4"/>
    <w:rsid w:val="004032DA"/>
    <w:rsid w:val="00404600"/>
    <w:rsid w:val="00410857"/>
    <w:rsid w:val="0042408C"/>
    <w:rsid w:val="0042463E"/>
    <w:rsid w:val="00427739"/>
    <w:rsid w:val="0043300B"/>
    <w:rsid w:val="004346FD"/>
    <w:rsid w:val="00435943"/>
    <w:rsid w:val="004404BD"/>
    <w:rsid w:val="004509A0"/>
    <w:rsid w:val="004514E2"/>
    <w:rsid w:val="00455D17"/>
    <w:rsid w:val="00461F95"/>
    <w:rsid w:val="00463E0D"/>
    <w:rsid w:val="00471932"/>
    <w:rsid w:val="004730CD"/>
    <w:rsid w:val="004730F7"/>
    <w:rsid w:val="00473B46"/>
    <w:rsid w:val="004905F6"/>
    <w:rsid w:val="004A0F10"/>
    <w:rsid w:val="004A17D1"/>
    <w:rsid w:val="004A3B55"/>
    <w:rsid w:val="004E0C18"/>
    <w:rsid w:val="004E1439"/>
    <w:rsid w:val="004E786D"/>
    <w:rsid w:val="004F2787"/>
    <w:rsid w:val="00502112"/>
    <w:rsid w:val="00516DC7"/>
    <w:rsid w:val="005245E0"/>
    <w:rsid w:val="00531041"/>
    <w:rsid w:val="005405C2"/>
    <w:rsid w:val="00551F7D"/>
    <w:rsid w:val="00562F13"/>
    <w:rsid w:val="005800BF"/>
    <w:rsid w:val="005B4C5D"/>
    <w:rsid w:val="005C7290"/>
    <w:rsid w:val="005D21D0"/>
    <w:rsid w:val="005F0210"/>
    <w:rsid w:val="005F03C4"/>
    <w:rsid w:val="005F393E"/>
    <w:rsid w:val="00600A21"/>
    <w:rsid w:val="00601774"/>
    <w:rsid w:val="00613E99"/>
    <w:rsid w:val="00614F71"/>
    <w:rsid w:val="00615DE2"/>
    <w:rsid w:val="00623D74"/>
    <w:rsid w:val="0063276A"/>
    <w:rsid w:val="006375CA"/>
    <w:rsid w:val="00643A49"/>
    <w:rsid w:val="0065198B"/>
    <w:rsid w:val="006531E7"/>
    <w:rsid w:val="00671682"/>
    <w:rsid w:val="0068394B"/>
    <w:rsid w:val="0068524C"/>
    <w:rsid w:val="0068771E"/>
    <w:rsid w:val="00692D79"/>
    <w:rsid w:val="00694883"/>
    <w:rsid w:val="006958AE"/>
    <w:rsid w:val="006A4588"/>
    <w:rsid w:val="006C2244"/>
    <w:rsid w:val="006C68B7"/>
    <w:rsid w:val="006E2810"/>
    <w:rsid w:val="006E66DF"/>
    <w:rsid w:val="0070391A"/>
    <w:rsid w:val="00713137"/>
    <w:rsid w:val="00714165"/>
    <w:rsid w:val="007178A9"/>
    <w:rsid w:val="007218AE"/>
    <w:rsid w:val="00722217"/>
    <w:rsid w:val="00723DCF"/>
    <w:rsid w:val="00725AF9"/>
    <w:rsid w:val="00726136"/>
    <w:rsid w:val="007320A7"/>
    <w:rsid w:val="007373E2"/>
    <w:rsid w:val="00741EAC"/>
    <w:rsid w:val="00761B88"/>
    <w:rsid w:val="00765537"/>
    <w:rsid w:val="00767E12"/>
    <w:rsid w:val="00770D77"/>
    <w:rsid w:val="00771C25"/>
    <w:rsid w:val="00775AC4"/>
    <w:rsid w:val="00786ADB"/>
    <w:rsid w:val="00790BC2"/>
    <w:rsid w:val="007945D6"/>
    <w:rsid w:val="00794DD4"/>
    <w:rsid w:val="00796314"/>
    <w:rsid w:val="007A0F29"/>
    <w:rsid w:val="007A4808"/>
    <w:rsid w:val="007B554A"/>
    <w:rsid w:val="007C57C4"/>
    <w:rsid w:val="007E0F8C"/>
    <w:rsid w:val="007E1D69"/>
    <w:rsid w:val="007E72A8"/>
    <w:rsid w:val="00804BD9"/>
    <w:rsid w:val="008142C1"/>
    <w:rsid w:val="00815D5C"/>
    <w:rsid w:val="00815E83"/>
    <w:rsid w:val="008162D8"/>
    <w:rsid w:val="0081717B"/>
    <w:rsid w:val="00821A09"/>
    <w:rsid w:val="0083766B"/>
    <w:rsid w:val="00840549"/>
    <w:rsid w:val="008421BD"/>
    <w:rsid w:val="0084456C"/>
    <w:rsid w:val="008547D4"/>
    <w:rsid w:val="008663D4"/>
    <w:rsid w:val="008737F1"/>
    <w:rsid w:val="008A76A2"/>
    <w:rsid w:val="008C3EC7"/>
    <w:rsid w:val="008C4516"/>
    <w:rsid w:val="008D1CEE"/>
    <w:rsid w:val="008D2C7D"/>
    <w:rsid w:val="008D363F"/>
    <w:rsid w:val="008E11B6"/>
    <w:rsid w:val="008E2A6B"/>
    <w:rsid w:val="008E7A8A"/>
    <w:rsid w:val="009030CC"/>
    <w:rsid w:val="00922656"/>
    <w:rsid w:val="00923134"/>
    <w:rsid w:val="00932739"/>
    <w:rsid w:val="00951AEB"/>
    <w:rsid w:val="00951D73"/>
    <w:rsid w:val="00954357"/>
    <w:rsid w:val="00970AC3"/>
    <w:rsid w:val="009713BF"/>
    <w:rsid w:val="0097470C"/>
    <w:rsid w:val="00980F1E"/>
    <w:rsid w:val="00986680"/>
    <w:rsid w:val="00992B23"/>
    <w:rsid w:val="009947D3"/>
    <w:rsid w:val="00996015"/>
    <w:rsid w:val="00996677"/>
    <w:rsid w:val="009A053F"/>
    <w:rsid w:val="009A14CA"/>
    <w:rsid w:val="009A6A18"/>
    <w:rsid w:val="009B6A72"/>
    <w:rsid w:val="009C03F1"/>
    <w:rsid w:val="009C1B2A"/>
    <w:rsid w:val="009C2A37"/>
    <w:rsid w:val="009D654F"/>
    <w:rsid w:val="009E2187"/>
    <w:rsid w:val="009E47DD"/>
    <w:rsid w:val="009F04D1"/>
    <w:rsid w:val="00A046B5"/>
    <w:rsid w:val="00A054F0"/>
    <w:rsid w:val="00A07920"/>
    <w:rsid w:val="00A1493D"/>
    <w:rsid w:val="00A14BE6"/>
    <w:rsid w:val="00A16ECC"/>
    <w:rsid w:val="00A22030"/>
    <w:rsid w:val="00A23829"/>
    <w:rsid w:val="00A366C3"/>
    <w:rsid w:val="00A40CA8"/>
    <w:rsid w:val="00A50596"/>
    <w:rsid w:val="00A73048"/>
    <w:rsid w:val="00A7442D"/>
    <w:rsid w:val="00A92CE5"/>
    <w:rsid w:val="00A93485"/>
    <w:rsid w:val="00AA604E"/>
    <w:rsid w:val="00AA7B44"/>
    <w:rsid w:val="00AB03F3"/>
    <w:rsid w:val="00AB7E33"/>
    <w:rsid w:val="00AC68EA"/>
    <w:rsid w:val="00AE1533"/>
    <w:rsid w:val="00AE7FE8"/>
    <w:rsid w:val="00AF61E3"/>
    <w:rsid w:val="00AF62AA"/>
    <w:rsid w:val="00B0265D"/>
    <w:rsid w:val="00B04486"/>
    <w:rsid w:val="00B065E1"/>
    <w:rsid w:val="00B12B0F"/>
    <w:rsid w:val="00B206D3"/>
    <w:rsid w:val="00B214CF"/>
    <w:rsid w:val="00B22597"/>
    <w:rsid w:val="00B22639"/>
    <w:rsid w:val="00B30387"/>
    <w:rsid w:val="00B30BCD"/>
    <w:rsid w:val="00B505F1"/>
    <w:rsid w:val="00B5237D"/>
    <w:rsid w:val="00B53385"/>
    <w:rsid w:val="00B546CE"/>
    <w:rsid w:val="00B55BF4"/>
    <w:rsid w:val="00B65EF2"/>
    <w:rsid w:val="00B754C1"/>
    <w:rsid w:val="00B968A7"/>
    <w:rsid w:val="00BA066B"/>
    <w:rsid w:val="00BA6A81"/>
    <w:rsid w:val="00BC3BF9"/>
    <w:rsid w:val="00BC68ED"/>
    <w:rsid w:val="00BD363D"/>
    <w:rsid w:val="00BD5651"/>
    <w:rsid w:val="00BD6498"/>
    <w:rsid w:val="00BD7DAF"/>
    <w:rsid w:val="00BE0480"/>
    <w:rsid w:val="00BF6ECC"/>
    <w:rsid w:val="00C1795B"/>
    <w:rsid w:val="00C230E1"/>
    <w:rsid w:val="00C27180"/>
    <w:rsid w:val="00C36974"/>
    <w:rsid w:val="00C36AEC"/>
    <w:rsid w:val="00C466C9"/>
    <w:rsid w:val="00C51F60"/>
    <w:rsid w:val="00C62874"/>
    <w:rsid w:val="00C65850"/>
    <w:rsid w:val="00C703BC"/>
    <w:rsid w:val="00C72D73"/>
    <w:rsid w:val="00C74E6C"/>
    <w:rsid w:val="00C76218"/>
    <w:rsid w:val="00C84081"/>
    <w:rsid w:val="00C844D5"/>
    <w:rsid w:val="00C85137"/>
    <w:rsid w:val="00C95838"/>
    <w:rsid w:val="00C96158"/>
    <w:rsid w:val="00CE6E6E"/>
    <w:rsid w:val="00CF28D8"/>
    <w:rsid w:val="00D045BC"/>
    <w:rsid w:val="00D1687C"/>
    <w:rsid w:val="00D201E9"/>
    <w:rsid w:val="00D21983"/>
    <w:rsid w:val="00D27F60"/>
    <w:rsid w:val="00D36724"/>
    <w:rsid w:val="00D438E7"/>
    <w:rsid w:val="00D44C15"/>
    <w:rsid w:val="00D51531"/>
    <w:rsid w:val="00D51B56"/>
    <w:rsid w:val="00D5285B"/>
    <w:rsid w:val="00D60861"/>
    <w:rsid w:val="00D60B15"/>
    <w:rsid w:val="00D60D1B"/>
    <w:rsid w:val="00D637B4"/>
    <w:rsid w:val="00D70F2D"/>
    <w:rsid w:val="00D842B3"/>
    <w:rsid w:val="00D852C9"/>
    <w:rsid w:val="00D93D9E"/>
    <w:rsid w:val="00DA2236"/>
    <w:rsid w:val="00DB3CBC"/>
    <w:rsid w:val="00DB3D9B"/>
    <w:rsid w:val="00DC4232"/>
    <w:rsid w:val="00DD38FD"/>
    <w:rsid w:val="00DD59E1"/>
    <w:rsid w:val="00DF4DF2"/>
    <w:rsid w:val="00DF73A9"/>
    <w:rsid w:val="00E03D70"/>
    <w:rsid w:val="00E12169"/>
    <w:rsid w:val="00E1572F"/>
    <w:rsid w:val="00E17221"/>
    <w:rsid w:val="00E2358F"/>
    <w:rsid w:val="00E2716A"/>
    <w:rsid w:val="00E33C15"/>
    <w:rsid w:val="00E4061E"/>
    <w:rsid w:val="00E44690"/>
    <w:rsid w:val="00E516D7"/>
    <w:rsid w:val="00E53D1F"/>
    <w:rsid w:val="00E61DB2"/>
    <w:rsid w:val="00E67576"/>
    <w:rsid w:val="00E70E93"/>
    <w:rsid w:val="00E800BB"/>
    <w:rsid w:val="00E860D9"/>
    <w:rsid w:val="00E97A89"/>
    <w:rsid w:val="00EA36EE"/>
    <w:rsid w:val="00EB1921"/>
    <w:rsid w:val="00EE0C9E"/>
    <w:rsid w:val="00EE4405"/>
    <w:rsid w:val="00EF0451"/>
    <w:rsid w:val="00EF4DDF"/>
    <w:rsid w:val="00EF5E47"/>
    <w:rsid w:val="00F0724A"/>
    <w:rsid w:val="00F11DB0"/>
    <w:rsid w:val="00F13041"/>
    <w:rsid w:val="00F13DD5"/>
    <w:rsid w:val="00F21B54"/>
    <w:rsid w:val="00F23CFF"/>
    <w:rsid w:val="00F36E69"/>
    <w:rsid w:val="00F467C1"/>
    <w:rsid w:val="00F66BD8"/>
    <w:rsid w:val="00F70D20"/>
    <w:rsid w:val="00F84077"/>
    <w:rsid w:val="00F92588"/>
    <w:rsid w:val="00FD66A9"/>
    <w:rsid w:val="00FE3A0C"/>
    <w:rsid w:val="00FE5484"/>
    <w:rsid w:val="00FE575E"/>
    <w:rsid w:val="00FF1333"/>
    <w:rsid w:val="00FF30A0"/>
    <w:rsid w:val="00FF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2AA6C6"/>
  <w15:chartTrackingRefBased/>
  <w15:docId w15:val="{0BFEE52F-9127-4417-B992-A58E9F09460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2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25AE3"/>
    <w:pPr>
      <w:ind w:left="720"/>
      <w:contextualSpacing/>
    </w:pPr>
  </w:style>
  <w:style w:type="character" w:customStyle="1" w:styleId="s2">
    <w:name w:val="s2"/>
    <w:rsid w:val="00225AE3"/>
    <w:rPr>
      <w:rFonts w:ascii="Times New Roman" w:hAnsi="Times New Roman" w:cs="Times New Roman" w:hint="default"/>
      <w:color w:val="333399"/>
      <w:u w:val="single"/>
    </w:rPr>
  </w:style>
  <w:style w:type="paragraph" w:customStyle="1" w:styleId="pr">
    <w:name w:val="pr"/>
    <w:basedOn w:val="a"/>
    <w:rsid w:val="0022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A7442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7442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7442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7442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7442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74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7442D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45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09A0"/>
  </w:style>
  <w:style w:type="paragraph" w:styleId="af">
    <w:name w:val="footer"/>
    <w:basedOn w:val="a"/>
    <w:link w:val="af0"/>
    <w:uiPriority w:val="99"/>
    <w:unhideWhenUsed/>
    <w:rsid w:val="0045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09A0"/>
  </w:style>
  <w:style w:type="paragraph" w:styleId="af1">
    <w:name w:val="No Spacing"/>
    <w:uiPriority w:val="1"/>
    <w:qFormat/>
    <w:rsid w:val="00B2259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47" Type="http://schemas.openxmlformats.org/officeDocument/2006/relationships/image" Target="media/image94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Мусина Жанар Откеновна</cp:lastModifiedBy>
  <cp:revision>10</cp:revision>
  <cp:lastPrinted>2025-12-04T09:36:00Z</cp:lastPrinted>
  <dcterms:created xsi:type="dcterms:W3CDTF">2025-12-17T12:23:00Z</dcterms:created>
  <dcterms:modified xsi:type="dcterms:W3CDTF">2025-12-18T07:06:00Z</dcterms:modified>
</cp:coreProperties>
</file>